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r w:rsidRPr="00F40D8F">
        <w:rPr>
          <w:rFonts w:ascii="Times New Roman" w:hAnsi="Times New Roman"/>
          <w:bCs/>
          <w:color w:val="000000"/>
          <w:kern w:val="36"/>
          <w:sz w:val="24"/>
          <w:szCs w:val="24"/>
          <w:lang w:eastAsia="it-IT"/>
        </w:rPr>
        <w:t>G 30 Fatti sconcertanti 8</w:t>
      </w:r>
    </w:p>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Pr="00F40D8F" w:rsidRDefault="00AE0118" w:rsidP="00F40D8F">
      <w:pPr>
        <w:shd w:val="clear" w:color="auto" w:fill="FFFFFF"/>
        <w:spacing w:after="0" w:line="240" w:lineRule="atLeast"/>
        <w:jc w:val="center"/>
        <w:outlineLvl w:val="0"/>
        <w:rPr>
          <w:rFonts w:ascii="Times New Roman" w:hAnsi="Times New Roman"/>
          <w:bCs/>
          <w:color w:val="000000"/>
          <w:kern w:val="36"/>
          <w:sz w:val="24"/>
          <w:szCs w:val="24"/>
          <w:lang w:eastAsia="it-IT"/>
        </w:rPr>
      </w:pPr>
    </w:p>
    <w:p w:rsidR="00AE0118" w:rsidRDefault="00AE0118" w:rsidP="00F40D8F">
      <w:pPr>
        <w:shd w:val="clear" w:color="auto" w:fill="FFFFFF"/>
        <w:spacing w:after="0" w:line="240" w:lineRule="atLeast"/>
        <w:jc w:val="center"/>
        <w:outlineLvl w:val="0"/>
        <w:rPr>
          <w:rFonts w:ascii="Times New Roman" w:hAnsi="Times New Roman"/>
          <w:b/>
          <w:bCs/>
          <w:color w:val="000000"/>
          <w:kern w:val="36"/>
          <w:sz w:val="24"/>
          <w:szCs w:val="24"/>
          <w:lang w:eastAsia="it-IT"/>
        </w:rPr>
      </w:pPr>
      <w:r w:rsidRPr="00F40D8F">
        <w:rPr>
          <w:rFonts w:ascii="Times New Roman" w:hAnsi="Times New Roman"/>
          <w:b/>
          <w:bCs/>
          <w:color w:val="000000"/>
          <w:kern w:val="36"/>
          <w:sz w:val="24"/>
          <w:szCs w:val="24"/>
          <w:lang w:eastAsia="it-IT"/>
        </w:rPr>
        <w:t>Gender in classe. Ecco i libri che insegneranno agli scolari italiani</w:t>
      </w:r>
    </w:p>
    <w:p w:rsidR="00AE0118" w:rsidRDefault="00AE0118" w:rsidP="00F40D8F">
      <w:pPr>
        <w:shd w:val="clear" w:color="auto" w:fill="FFFFFF"/>
        <w:spacing w:after="0" w:line="240" w:lineRule="atLeast"/>
        <w:jc w:val="center"/>
        <w:outlineLvl w:val="0"/>
        <w:rPr>
          <w:rFonts w:ascii="Times New Roman" w:hAnsi="Times New Roman"/>
          <w:b/>
          <w:bCs/>
          <w:color w:val="000000"/>
          <w:kern w:val="36"/>
          <w:sz w:val="24"/>
          <w:szCs w:val="24"/>
          <w:lang w:eastAsia="it-IT"/>
        </w:rPr>
      </w:pPr>
      <w:r w:rsidRPr="00F40D8F">
        <w:rPr>
          <w:rFonts w:ascii="Times New Roman" w:hAnsi="Times New Roman"/>
          <w:b/>
          <w:bCs/>
          <w:color w:val="000000"/>
          <w:kern w:val="36"/>
          <w:sz w:val="24"/>
          <w:szCs w:val="24"/>
          <w:lang w:eastAsia="it-IT"/>
        </w:rPr>
        <w:t>ad essere più moderni dei loro «genitori omofobi»</w:t>
      </w:r>
    </w:p>
    <w:p w:rsidR="00AE0118" w:rsidRPr="00F40D8F" w:rsidRDefault="00AE0118" w:rsidP="00F40D8F">
      <w:pPr>
        <w:shd w:val="clear" w:color="auto" w:fill="FFFFFF"/>
        <w:spacing w:after="0" w:line="240" w:lineRule="atLeast"/>
        <w:jc w:val="center"/>
        <w:outlineLvl w:val="0"/>
        <w:rPr>
          <w:rFonts w:ascii="Times New Roman" w:hAnsi="Times New Roman"/>
          <w:b/>
          <w:bCs/>
          <w:color w:val="000000"/>
          <w:kern w:val="36"/>
          <w:sz w:val="24"/>
          <w:szCs w:val="24"/>
          <w:lang w:eastAsia="it-IT"/>
        </w:rPr>
      </w:pPr>
    </w:p>
    <w:p w:rsidR="00AE0118" w:rsidRPr="003D2FF0" w:rsidRDefault="00AE0118" w:rsidP="00B56CA7">
      <w:pPr>
        <w:shd w:val="clear" w:color="auto" w:fill="FFFFFF"/>
        <w:spacing w:after="0" w:line="240" w:lineRule="atLeast"/>
        <w:ind w:firstLine="720"/>
        <w:jc w:val="both"/>
        <w:rPr>
          <w:rFonts w:ascii="Times New Roman" w:hAnsi="Times New Roman"/>
          <w:b/>
          <w:color w:val="000000"/>
          <w:sz w:val="24"/>
          <w:szCs w:val="24"/>
          <w:lang w:eastAsia="it-IT"/>
        </w:rPr>
      </w:pPr>
      <w:r w:rsidRPr="003D2FF0">
        <w:rPr>
          <w:rFonts w:ascii="Times New Roman" w:hAnsi="Times New Roman"/>
          <w:b/>
          <w:color w:val="000000"/>
          <w:sz w:val="24"/>
          <w:szCs w:val="24"/>
          <w:lang w:eastAsia="it-IT"/>
        </w:rPr>
        <w:t>febbraio</w:t>
      </w:r>
      <w:bookmarkStart w:id="0" w:name="_GoBack"/>
      <w:bookmarkEnd w:id="0"/>
      <w:r w:rsidRPr="003D2FF0">
        <w:rPr>
          <w:rFonts w:ascii="Times New Roman" w:hAnsi="Times New Roman"/>
          <w:b/>
          <w:color w:val="000000"/>
          <w:sz w:val="24"/>
          <w:szCs w:val="24"/>
          <w:lang w:eastAsia="it-IT"/>
        </w:rPr>
        <w:t xml:space="preserve"> 10, 2014 Benedetta Frigerio    www.tempi.it</w:t>
      </w: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1026" type="#_x0000_t75" alt="Schermata 2014-02-07 a 20.54.24" href="http://www.tempi.it/scuola-di-stato-lgbt-ecco-cosa-insegnera-ai-nostri-figli-il-maestro-unico-della-teoria-del-gen#.UvjDjkJ5" style="position:absolute;left:0;text-align:left;margin-left:0;margin-top:60.4pt;width:126pt;height:159pt;z-index:251657728;visibility:visible" o:button="t">
            <v:fill o:detectmouseclick="t"/>
            <v:imagedata r:id="rId4" o:title=""/>
            <w10:wrap type="square"/>
          </v:shape>
        </w:pict>
      </w:r>
      <w:r w:rsidRPr="00306F88">
        <w:rPr>
          <w:rFonts w:ascii="Times New Roman" w:hAnsi="Times New Roman"/>
          <w:color w:val="000000"/>
          <w:sz w:val="24"/>
          <w:szCs w:val="24"/>
          <w:lang w:eastAsia="it-IT"/>
        </w:rPr>
        <w:t>Dal «ritratto dell’individuo omofobo» all’empatia con i gay fino alla teoria delle “nuove famiglie”. Abbiamo letto gli opuscoli Unar che saranno proposti nelle scuole del nostro paese</w:t>
      </w: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sidRPr="00306F88">
        <w:rPr>
          <w:rFonts w:ascii="Times New Roman" w:hAnsi="Times New Roman"/>
          <w:color w:val="000000"/>
          <w:sz w:val="24"/>
          <w:szCs w:val="24"/>
          <w:lang w:eastAsia="it-IT"/>
        </w:rPr>
        <w:t xml:space="preserve">È così che la teoria del “gender” </w:t>
      </w:r>
      <w:hyperlink r:id="rId5" w:anchor=".UvjDjkJ5P64" w:tgtFrame="_blank" w:history="1">
        <w:r w:rsidRPr="00306F88">
          <w:rPr>
            <w:rFonts w:ascii="Times New Roman" w:hAnsi="Times New Roman"/>
            <w:b/>
            <w:bCs/>
            <w:color w:val="0000FF"/>
            <w:sz w:val="24"/>
            <w:szCs w:val="24"/>
            <w:u w:val="single"/>
            <w:lang w:eastAsia="it-IT"/>
          </w:rPr>
          <w:t>verrà insegnata nelle scuole italiane</w:t>
        </w:r>
      </w:hyperlink>
      <w:r w:rsidRPr="00306F88">
        <w:rPr>
          <w:rFonts w:ascii="Times New Roman" w:hAnsi="Times New Roman"/>
          <w:color w:val="000000"/>
          <w:sz w:val="24"/>
          <w:szCs w:val="24"/>
          <w:lang w:eastAsia="it-IT"/>
        </w:rPr>
        <w:t xml:space="preserve"> sin dalla più tenera età. Come anticipato nelle famose </w:t>
      </w:r>
      <w:hyperlink r:id="rId6" w:anchor=".UvjDh0J5P64" w:tgtFrame="_blank" w:history="1">
        <w:r w:rsidRPr="00306F88">
          <w:rPr>
            <w:rFonts w:ascii="Times New Roman" w:hAnsi="Times New Roman"/>
            <w:b/>
            <w:bCs/>
            <w:color w:val="0000FF"/>
            <w:sz w:val="24"/>
            <w:szCs w:val="24"/>
            <w:u w:val="single"/>
            <w:lang w:eastAsia="it-IT"/>
          </w:rPr>
          <w:t>“linee guida”</w:t>
        </w:r>
      </w:hyperlink>
      <w:r w:rsidRPr="00306F88">
        <w:rPr>
          <w:rFonts w:ascii="Times New Roman" w:hAnsi="Times New Roman"/>
          <w:color w:val="000000"/>
          <w:sz w:val="24"/>
          <w:szCs w:val="24"/>
          <w:lang w:eastAsia="it-IT"/>
        </w:rPr>
        <w:t xml:space="preserve"> approvate all’epoca del governo Monti dall’allora ministro del Lavoro con delega alle Pari opportunità, Elsa Fornero, sono pronti i «percorsi innovativi di formazione e aggiornamento per dirigenti, docenti e alunni sulle materie antidiscriminatorie, con particolare focus sul tema Lgbt e sui temi del bullismo omofobico e transfobico».</w:t>
      </w:r>
    </w:p>
    <w:p w:rsidR="00AE011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sidRPr="00306F88">
        <w:rPr>
          <w:rFonts w:ascii="Times New Roman" w:hAnsi="Times New Roman"/>
          <w:b/>
          <w:bCs/>
          <w:color w:val="000000"/>
          <w:sz w:val="24"/>
          <w:szCs w:val="24"/>
          <w:lang w:eastAsia="it-IT"/>
        </w:rPr>
        <w:t>«ESSERE GAY INFORMED».</w:t>
      </w:r>
      <w:r w:rsidRPr="00306F88">
        <w:rPr>
          <w:rFonts w:ascii="Times New Roman" w:hAnsi="Times New Roman"/>
          <w:color w:val="000000"/>
          <w:sz w:val="24"/>
          <w:szCs w:val="24"/>
          <w:lang w:eastAsia="it-IT"/>
        </w:rPr>
        <w:t xml:space="preserve"> Questi percorsi sono delineati in tre libretti partoriti nell’ambito della nuova </w:t>
      </w:r>
      <w:hyperlink r:id="rId7" w:anchor=".UvjEV0J5P64" w:tgtFrame="_blank" w:history="1">
        <w:r w:rsidRPr="00306F88">
          <w:rPr>
            <w:rFonts w:ascii="Times New Roman" w:hAnsi="Times New Roman"/>
            <w:b/>
            <w:bCs/>
            <w:color w:val="0000FF"/>
            <w:sz w:val="24"/>
            <w:szCs w:val="24"/>
            <w:u w:val="single"/>
            <w:lang w:eastAsia="it-IT"/>
          </w:rPr>
          <w:t>“strategia nazionale” anti omofobia</w:t>
        </w:r>
      </w:hyperlink>
      <w:r w:rsidRPr="00306F88">
        <w:rPr>
          <w:rFonts w:ascii="Times New Roman" w:hAnsi="Times New Roman"/>
          <w:color w:val="000000"/>
          <w:sz w:val="24"/>
          <w:szCs w:val="24"/>
          <w:lang w:eastAsia="it-IT"/>
        </w:rPr>
        <w:t xml:space="preserve">, affidata </w:t>
      </w:r>
      <w:hyperlink r:id="rId8" w:anchor=".UvjEZUJ5P65" w:tgtFrame="_blank" w:history="1">
        <w:r w:rsidRPr="00306F88">
          <w:rPr>
            <w:rFonts w:ascii="Times New Roman" w:hAnsi="Times New Roman"/>
            <w:b/>
            <w:bCs/>
            <w:color w:val="0000FF"/>
            <w:sz w:val="24"/>
            <w:szCs w:val="24"/>
            <w:u w:val="single"/>
            <w:lang w:eastAsia="it-IT"/>
          </w:rPr>
          <w:t>per decreto del governo Letta</w:t>
        </w:r>
      </w:hyperlink>
      <w:r w:rsidRPr="00306F88">
        <w:rPr>
          <w:rFonts w:ascii="Times New Roman" w:hAnsi="Times New Roman"/>
          <w:color w:val="000000"/>
          <w:sz w:val="24"/>
          <w:szCs w:val="24"/>
          <w:lang w:eastAsia="it-IT"/>
        </w:rPr>
        <w:t xml:space="preserve"> a 29 associazioni del mondo Lgbt e finanziata dai contribuenti con 10 milioni di euro. In sostanza i volumi sono pressoché identici, con qualche variante per “adattarli” ai diversi gradi di scuola: superiore, media inferiore ed elementare. Sotto il generico titolo </w:t>
      </w:r>
      <w:r w:rsidRPr="00306F88">
        <w:rPr>
          <w:rFonts w:ascii="Times New Roman" w:hAnsi="Times New Roman"/>
          <w:i/>
          <w:iCs/>
          <w:color w:val="000000"/>
          <w:sz w:val="24"/>
          <w:szCs w:val="24"/>
          <w:lang w:eastAsia="it-IT"/>
        </w:rPr>
        <w:t>Educare alla diversità nella scuola</w:t>
      </w:r>
      <w:r w:rsidRPr="00306F88">
        <w:rPr>
          <w:rFonts w:ascii="Times New Roman" w:hAnsi="Times New Roman"/>
          <w:color w:val="000000"/>
          <w:sz w:val="24"/>
          <w:szCs w:val="24"/>
          <w:lang w:eastAsia="it-IT"/>
        </w:rPr>
        <w:t>, l’obiettivo è diffondere l’idea che omosessuali si nasce, così come si nasce etero. Per averli basta richiederli al sito dell’istituto Beck che li ha prodotti su incarico dell’Unar con l’intento di convincere gli insegnati e quindi gli alunni. Perché, come si legge, non è più sufficiente «essere gay friendly (amichevoli nei confronti di gay e lesbiche), ma è necessario essere gay informed (informati sulle tematiche gay e lesbiche)». Per evitare, cioè, discriminazioni che nascono da affermazioni o comportamenti che «gli insegnanti devono evitare», non basterà impegnarsi a non insultare o a non assumere atteggiamenti di esclusione. D’ora in poi i docenti dovranno evitare «analogie che facciano riferimento a una prospettiva eteronormativa (cioè che assume che l’eterosessualità sia l’orientamento normale)», poiché queste possono tradursi nella pericolosa assunzione «che un bambino da grande si innamorerà di una donna». Attenzione quindi a non dividere mai i maschi dalle femmine o ad assegnare loro diverse attività. Vietato anche elaborare compiti che non contengano situazioni diverse, occorre formulare problemi così: «Per esempio; “Rosa e i suoi papà hanno comprato tre lattine di tè freddo al bar. Se ogni lattina costa 2 euro, quanto hanno speso?”».</w:t>
      </w:r>
    </w:p>
    <w:p w:rsidR="00AE011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Pr>
          <w:noProof/>
          <w:lang w:eastAsia="it-IT"/>
        </w:rPr>
        <w:pict>
          <v:shape id="Immagine 3" o:spid="_x0000_s1027" type="#_x0000_t75" alt="unar-lgbt" href="http://cdn.tempi.it/wp-content/uploads/2014/02/modern_family." style="position:absolute;left:0;text-align:left;margin-left:0;margin-top:9.25pt;width:183pt;height:159pt;z-index:251656704;visibility:visible" o:button="t">
            <v:fill o:detectmouseclick="t"/>
            <v:imagedata r:id="rId9" o:title=""/>
            <w10:wrap type="square"/>
          </v:shape>
        </w:pict>
      </w:r>
      <w:r w:rsidRPr="00306F88">
        <w:rPr>
          <w:rFonts w:ascii="Times New Roman" w:hAnsi="Times New Roman"/>
          <w:b/>
          <w:bCs/>
          <w:color w:val="000000"/>
          <w:sz w:val="24"/>
          <w:szCs w:val="24"/>
          <w:lang w:eastAsia="it-IT"/>
        </w:rPr>
        <w:t>«NON PUOI CAMBIARE».</w:t>
      </w:r>
      <w:r w:rsidRPr="00306F88">
        <w:rPr>
          <w:rFonts w:ascii="Times New Roman" w:hAnsi="Times New Roman"/>
          <w:color w:val="000000"/>
          <w:sz w:val="24"/>
          <w:szCs w:val="24"/>
          <w:lang w:eastAsia="it-IT"/>
        </w:rPr>
        <w:t xml:space="preserve"> A dar retta a questi opuscoli, l’identità sessuale sarebbe formata da quattro componenti. La prima componente è l’identità biologica che si riferisce al sesso. La seconda è l’identità di genere che dipende dalla percezione che si ha di sé. E «non sempre l’identità di genere e quella biologica coincidono». Infatti «a volte – si legge – il disagio rispetto al proprio sesso biologico è così forte che la persona è disposta a sottoporsi a cure ormonali e operazioni chirurgiche». La terza componente è poi il ruolo di genere, imposto dalla società, per colpa del quale, ad esempio, una donna «deve imparare a cucinare» o «deve volere un marito e dei figli». Infine c’è l’orientamento sessuale, quello da cui dipende l’attrazione verso altre persone. Le quali ovviamente possono essere indifferentemente di un altro sesso o dello stesso. L’unica cosa che non è normale è che esistano «individui attratti dal proprio sesso che non hanno comportamenti omosessuali o alcuna attività sessuale»: gli scolari italiani impareranno presto che queste persone «hanno forti sensi di colpa rispetto alla propria omosessualità». Secondo i teorici del gender si chiama «omofobia interiorizzata» ed è dovuta a «pregiudizi e discriminazioni che possono rendere più difficile l’accettazione del proprio orientamento». Quanto alle cosiddette «terapie riparative», sono cose «estremamente pericolose». Punto. Segue per sicurezza un bel «ritratto dell’individuo omofobo», che di solito è di «età avanzata» ed è accecato da un alto «grado di religiosità» e di «ideologia conservatrice». Si va dall’«omofobo di tipo religioso che considera l’omosessualità un peccato» a quello «scientifico che la considera una malattia», fino ai «genitori omofobi». Nelle pagine successive vengono poi forniti i dati sulla discriminazione, presi direttamente da </w:t>
      </w:r>
      <w:r w:rsidRPr="00306F88">
        <w:rPr>
          <w:rFonts w:ascii="Times New Roman" w:hAnsi="Times New Roman"/>
          <w:i/>
          <w:iCs/>
          <w:color w:val="000000"/>
          <w:sz w:val="24"/>
          <w:szCs w:val="24"/>
          <w:lang w:eastAsia="it-IT"/>
        </w:rPr>
        <w:t>Gay.it</w:t>
      </w:r>
      <w:r w:rsidRPr="00306F88">
        <w:rPr>
          <w:rFonts w:ascii="Times New Roman" w:hAnsi="Times New Roman"/>
          <w:color w:val="000000"/>
          <w:sz w:val="24"/>
          <w:szCs w:val="24"/>
          <w:lang w:eastAsia="it-IT"/>
        </w:rPr>
        <w:t>.</w:t>
      </w: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Pr>
          <w:noProof/>
          <w:lang w:eastAsia="it-IT"/>
        </w:rPr>
        <w:pict>
          <v:shape id="Immagine 2" o:spid="_x0000_s1028" type="#_x0000_t75" alt="modern_family" href="http://cdn.tempi.it/wp-content/uploads/2014/02/modern_family." style="position:absolute;left:0;text-align:left;margin-left:0;margin-top:-.3pt;width:200.25pt;height:159pt;z-index:251658752;visibility:visible;mso-position-horizontal:left" o:button="t">
            <v:fill o:detectmouseclick="t"/>
            <v:imagedata r:id="rId10" o:title=""/>
            <w10:wrap type="square"/>
          </v:shape>
        </w:pict>
      </w:r>
      <w:r w:rsidRPr="00306F88">
        <w:rPr>
          <w:rFonts w:ascii="Times New Roman" w:hAnsi="Times New Roman"/>
          <w:b/>
          <w:bCs/>
          <w:color w:val="000000"/>
          <w:sz w:val="24"/>
          <w:szCs w:val="24"/>
          <w:lang w:eastAsia="it-IT"/>
        </w:rPr>
        <w:t>TUTTA COLPA DEI MEDIA.</w:t>
      </w:r>
      <w:r w:rsidRPr="00306F88">
        <w:rPr>
          <w:rFonts w:ascii="Times New Roman" w:hAnsi="Times New Roman"/>
          <w:color w:val="000000"/>
          <w:sz w:val="24"/>
          <w:szCs w:val="24"/>
          <w:lang w:eastAsia="it-IT"/>
        </w:rPr>
        <w:t xml:space="preserve"> Nei libretti anti-omofobia sono forniti anche alcuni strumenti: oltre al questionario per misurare il proprio livello di omofobia, si consiglia vivamente di coinvolgere nel progetto anche i genitori, inviando loro una lettera di cui viene presentato un modello tipo. Le due pagine successive sono dedicate alle risposte alle domande più frequenti, come quella sul perché ci sono persone con attrazioni dello stesso sesso, a cui si deve replicare che è così «per la stessa ragione per cui altri individui sono attratti da persone del sesso opposto». A chi domanda se esista una cura per l’omosessualità si deve risponde ovviamente di no, ricordando che «chiunque dica il contrario diffonde un pregiudizio».</w:t>
      </w: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sidRPr="00306F88">
        <w:rPr>
          <w:rFonts w:ascii="Times New Roman" w:hAnsi="Times New Roman"/>
          <w:b/>
          <w:bCs/>
          <w:color w:val="000000"/>
          <w:sz w:val="24"/>
          <w:szCs w:val="24"/>
          <w:lang w:eastAsia="it-IT"/>
        </w:rPr>
        <w:t>COSA GUARDARE IN TV.</w:t>
      </w:r>
      <w:r w:rsidRPr="00306F88">
        <w:rPr>
          <w:rFonts w:ascii="Times New Roman" w:hAnsi="Times New Roman"/>
          <w:color w:val="000000"/>
          <w:sz w:val="24"/>
          <w:szCs w:val="24"/>
          <w:lang w:eastAsia="it-IT"/>
        </w:rPr>
        <w:t xml:space="preserve"> C’è poi un’ultima sezione dedicata all’insegnamento pratico. Qui viene sottolineato il ruolo dei media italiani che discriminano le famiglie omosessuali, invitando i docenti a chiedere agli alunni come mai «in Italia non ritraggono diverse strutture familiari». Quindi viene caldeggiata la visione di film con modelli di «famiglie allargate» come </w:t>
      </w:r>
      <w:r w:rsidRPr="00306F88">
        <w:rPr>
          <w:rFonts w:ascii="Times New Roman" w:hAnsi="Times New Roman"/>
          <w:i/>
          <w:iCs/>
          <w:color w:val="000000"/>
          <w:sz w:val="24"/>
          <w:szCs w:val="24"/>
          <w:lang w:eastAsia="it-IT"/>
        </w:rPr>
        <w:t>Modern Family</w:t>
      </w:r>
      <w:r w:rsidRPr="00306F88">
        <w:rPr>
          <w:rFonts w:ascii="Times New Roman" w:hAnsi="Times New Roman"/>
          <w:color w:val="000000"/>
          <w:sz w:val="24"/>
          <w:szCs w:val="24"/>
          <w:lang w:eastAsia="it-IT"/>
        </w:rPr>
        <w:t xml:space="preserve">, oppure serie tv su famiglie eterosessuali litigiose come </w:t>
      </w:r>
      <w:r w:rsidRPr="00306F88">
        <w:rPr>
          <w:rFonts w:ascii="Times New Roman" w:hAnsi="Times New Roman"/>
          <w:i/>
          <w:iCs/>
          <w:color w:val="000000"/>
          <w:sz w:val="24"/>
          <w:szCs w:val="24"/>
          <w:lang w:eastAsia="it-IT"/>
        </w:rPr>
        <w:t>Tutto in famiglia</w:t>
      </w:r>
      <w:r w:rsidRPr="00306F88">
        <w:rPr>
          <w:rFonts w:ascii="Times New Roman" w:hAnsi="Times New Roman"/>
          <w:color w:val="000000"/>
          <w:sz w:val="24"/>
          <w:szCs w:val="24"/>
          <w:lang w:eastAsia="it-IT"/>
        </w:rPr>
        <w:t xml:space="preserve"> o </w:t>
      </w:r>
      <w:r w:rsidRPr="00306F88">
        <w:rPr>
          <w:rFonts w:ascii="Times New Roman" w:hAnsi="Times New Roman"/>
          <w:i/>
          <w:iCs/>
          <w:color w:val="000000"/>
          <w:sz w:val="24"/>
          <w:szCs w:val="24"/>
          <w:lang w:eastAsia="it-IT"/>
        </w:rPr>
        <w:t>La vita secondo Jim</w:t>
      </w:r>
      <w:r w:rsidRPr="00306F88">
        <w:rPr>
          <w:rFonts w:ascii="Times New Roman" w:hAnsi="Times New Roman"/>
          <w:color w:val="000000"/>
          <w:sz w:val="24"/>
          <w:szCs w:val="24"/>
          <w:lang w:eastAsia="it-IT"/>
        </w:rPr>
        <w:t>. Viene proposto inoltre il “Gioco dei fatti e delle opinioni” in cui, ad esempio, se uno studente dice «“due uomini che fanno l’amore sono disgustosi”, a quel punto l’insegnante deve far notare che questa è un’opinione che deriva dal fatto che siamo poco abituati dal cinema e dalla tv a vedere due uomini che si baciano o fanno l’amore». E se questo non bastasse, ecco “Caccia agli stereotipi”, che permette di assicurarsi che gli alunni abbiano capito bene: «L’unica scelta che un omosessuale può fare è accettare questi sentimenti».</w:t>
      </w: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sidRPr="00306F88">
        <w:rPr>
          <w:rFonts w:ascii="Times New Roman" w:hAnsi="Times New Roman"/>
          <w:b/>
          <w:bCs/>
          <w:color w:val="000000"/>
          <w:sz w:val="24"/>
          <w:szCs w:val="24"/>
          <w:lang w:eastAsia="it-IT"/>
        </w:rPr>
        <w:t>MASTURBAZIONE COME GIOCO.</w:t>
      </w:r>
      <w:r w:rsidRPr="00306F88">
        <w:rPr>
          <w:rFonts w:ascii="Times New Roman" w:hAnsi="Times New Roman"/>
          <w:color w:val="000000"/>
          <w:sz w:val="24"/>
          <w:szCs w:val="24"/>
          <w:lang w:eastAsia="it-IT"/>
        </w:rPr>
        <w:t xml:space="preserve"> Dopo di che gli insegnanti dovranno tentare di fare immedesimare gli alunni “eterosessuali” con gli “omosessuali” e mettere gli alunni «in contatto con sentimenti e emozioni che possono provare persone gay o lesbiche». Ci sono storielle, attività e strumenti anche per questo, ed è proposto un elenco di documentari come </w:t>
      </w:r>
      <w:r w:rsidRPr="00306F88">
        <w:rPr>
          <w:rFonts w:ascii="Times New Roman" w:hAnsi="Times New Roman"/>
          <w:i/>
          <w:iCs/>
          <w:color w:val="000000"/>
          <w:sz w:val="24"/>
          <w:szCs w:val="24"/>
          <w:lang w:eastAsia="it-IT"/>
        </w:rPr>
        <w:t>Kràmpack</w:t>
      </w:r>
      <w:r w:rsidRPr="00306F88">
        <w:rPr>
          <w:rFonts w:ascii="Times New Roman" w:hAnsi="Times New Roman"/>
          <w:color w:val="000000"/>
          <w:sz w:val="24"/>
          <w:szCs w:val="24"/>
          <w:lang w:eastAsia="it-IT"/>
        </w:rPr>
        <w:t xml:space="preserve">, in cui la masturbazione fra due ragazzi è presentata come esplorazione e «gioco», e </w:t>
      </w:r>
      <w:r w:rsidRPr="00306F88">
        <w:rPr>
          <w:rFonts w:ascii="Times New Roman" w:hAnsi="Times New Roman"/>
          <w:i/>
          <w:iCs/>
          <w:color w:val="000000"/>
          <w:sz w:val="24"/>
          <w:szCs w:val="24"/>
          <w:lang w:eastAsia="it-IT"/>
        </w:rPr>
        <w:t>L’altra metà del cielo</w:t>
      </w:r>
      <w:r w:rsidRPr="00306F88">
        <w:rPr>
          <w:rFonts w:ascii="Times New Roman" w:hAnsi="Times New Roman"/>
          <w:color w:val="000000"/>
          <w:sz w:val="24"/>
          <w:szCs w:val="24"/>
          <w:lang w:eastAsia="it-IT"/>
        </w:rPr>
        <w:t>, che racconta «le vite di donne che amano altre donne» le quali «si sono scontrate con l’omofobia della propria famiglia».</w:t>
      </w:r>
    </w:p>
    <w:p w:rsidR="00AE0118" w:rsidRPr="00306F88" w:rsidRDefault="00AE0118" w:rsidP="00B56CA7">
      <w:pPr>
        <w:shd w:val="clear" w:color="auto" w:fill="FFFFFF"/>
        <w:spacing w:after="0" w:line="240" w:lineRule="atLeast"/>
        <w:ind w:firstLine="720"/>
        <w:jc w:val="both"/>
        <w:rPr>
          <w:rFonts w:ascii="Times New Roman" w:hAnsi="Times New Roman"/>
          <w:color w:val="000000"/>
          <w:sz w:val="24"/>
          <w:szCs w:val="24"/>
          <w:lang w:eastAsia="it-IT"/>
        </w:rPr>
      </w:pPr>
      <w:r w:rsidRPr="00306F88">
        <w:rPr>
          <w:rFonts w:ascii="Times New Roman" w:hAnsi="Times New Roman"/>
          <w:b/>
          <w:bCs/>
          <w:color w:val="000000"/>
          <w:sz w:val="24"/>
          <w:szCs w:val="24"/>
          <w:lang w:eastAsia="it-IT"/>
        </w:rPr>
        <w:t>ATTENZIONE AI GENITORI.</w:t>
      </w:r>
      <w:r w:rsidRPr="00306F88">
        <w:rPr>
          <w:rFonts w:ascii="Times New Roman" w:hAnsi="Times New Roman"/>
          <w:color w:val="000000"/>
          <w:sz w:val="24"/>
          <w:szCs w:val="24"/>
          <w:lang w:eastAsia="it-IT"/>
        </w:rPr>
        <w:t> Non poteva mancare qualche idea per aiutare le maestre a cambiare nelle teste dei loro alunni il concetto di famiglia. Ecco un esempio: «L’insegnante utilizza un tabellone e incolla a caso le immagini di famiglie differenti (ad esempio, l’immagine di una famiglia multi-razziale: due persone bianche con un bambino nero; le foto di un uomo vecchio, di una donna e di un cane; di due donne; di due uomini ecc). Chiede, allora, agli studenti se, secondo loro, le persone nelle foto potrebbero essere una famiglia (…). L’insegnante fa riferimento, dunque, alla definizione comune di famiglia e ricorda agli studenti che non si tratta di come appare, ma piuttosto di come i membri si supportano tra loro, si amano e si accudiscono a vicenda».</w:t>
      </w:r>
    </w:p>
    <w:sectPr w:rsidR="00AE0118" w:rsidRPr="00306F88" w:rsidSect="00F40D8F">
      <w:pgSz w:w="11906" w:h="16838"/>
      <w:pgMar w:top="89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6F88"/>
    <w:rsid w:val="00033FD8"/>
    <w:rsid w:val="000D55A9"/>
    <w:rsid w:val="00113A03"/>
    <w:rsid w:val="0017314A"/>
    <w:rsid w:val="001B1FFB"/>
    <w:rsid w:val="001C1B1E"/>
    <w:rsid w:val="00306F88"/>
    <w:rsid w:val="00334374"/>
    <w:rsid w:val="003D2FF0"/>
    <w:rsid w:val="005527CB"/>
    <w:rsid w:val="007B6906"/>
    <w:rsid w:val="008A3FEF"/>
    <w:rsid w:val="00AE0118"/>
    <w:rsid w:val="00B56CA7"/>
    <w:rsid w:val="00D03939"/>
    <w:rsid w:val="00D55A40"/>
    <w:rsid w:val="00E62CD5"/>
    <w:rsid w:val="00EA0F90"/>
    <w:rsid w:val="00F40D8F"/>
    <w:rsid w:val="00FF108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A40"/>
    <w:pPr>
      <w:spacing w:after="200" w:line="276" w:lineRule="auto"/>
    </w:pPr>
    <w:rPr>
      <w:lang w:eastAsia="en-US"/>
    </w:rPr>
  </w:style>
  <w:style w:type="paragraph" w:styleId="Heading1">
    <w:name w:val="heading 1"/>
    <w:basedOn w:val="Normal"/>
    <w:link w:val="Heading1Char"/>
    <w:uiPriority w:val="99"/>
    <w:qFormat/>
    <w:rsid w:val="00306F88"/>
    <w:pPr>
      <w:spacing w:before="100" w:beforeAutospacing="1" w:after="100" w:afterAutospacing="1" w:line="240" w:lineRule="auto"/>
      <w:outlineLvl w:val="0"/>
    </w:pPr>
    <w:rPr>
      <w:rFonts w:ascii="Times New Roman" w:eastAsia="Times New Roman" w:hAnsi="Times New Roman"/>
      <w:b/>
      <w:bCs/>
      <w:kern w:val="36"/>
      <w:sz w:val="48"/>
      <w:szCs w:val="48"/>
      <w:lang w:eastAsia="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6F88"/>
    <w:rPr>
      <w:rFonts w:ascii="Times New Roman" w:hAnsi="Times New Roman" w:cs="Times New Roman"/>
      <w:b/>
      <w:bCs/>
      <w:kern w:val="36"/>
      <w:sz w:val="48"/>
      <w:szCs w:val="48"/>
      <w:lang w:eastAsia="it-IT"/>
    </w:rPr>
  </w:style>
  <w:style w:type="character" w:styleId="Hyperlink">
    <w:name w:val="Hyperlink"/>
    <w:basedOn w:val="DefaultParagraphFont"/>
    <w:uiPriority w:val="99"/>
    <w:semiHidden/>
    <w:rsid w:val="00306F88"/>
    <w:rPr>
      <w:rFonts w:cs="Times New Roman"/>
      <w:color w:val="0000FF"/>
      <w:u w:val="single"/>
    </w:rPr>
  </w:style>
  <w:style w:type="paragraph" w:styleId="NormalWeb">
    <w:name w:val="Normal (Web)"/>
    <w:basedOn w:val="Normal"/>
    <w:uiPriority w:val="99"/>
    <w:semiHidden/>
    <w:rsid w:val="00306F88"/>
    <w:pPr>
      <w:spacing w:before="100" w:beforeAutospacing="1" w:after="100" w:afterAutospacing="1" w:line="240" w:lineRule="auto"/>
    </w:pPr>
    <w:rPr>
      <w:rFonts w:ascii="Times New Roman" w:eastAsia="Times New Roman" w:hAnsi="Times New Roman"/>
      <w:sz w:val="24"/>
      <w:szCs w:val="24"/>
      <w:lang w:eastAsia="it-IT"/>
    </w:rPr>
  </w:style>
  <w:style w:type="character" w:styleId="Strong">
    <w:name w:val="Strong"/>
    <w:basedOn w:val="DefaultParagraphFont"/>
    <w:uiPriority w:val="99"/>
    <w:qFormat/>
    <w:rsid w:val="00306F88"/>
    <w:rPr>
      <w:rFonts w:cs="Times New Roman"/>
      <w:b/>
      <w:bCs/>
    </w:rPr>
  </w:style>
  <w:style w:type="character" w:styleId="Emphasis">
    <w:name w:val="Emphasis"/>
    <w:basedOn w:val="DefaultParagraphFont"/>
    <w:uiPriority w:val="99"/>
    <w:qFormat/>
    <w:rsid w:val="00306F88"/>
    <w:rPr>
      <w:rFonts w:cs="Times New Roman"/>
      <w:i/>
      <w:iCs/>
    </w:rPr>
  </w:style>
  <w:style w:type="paragraph" w:styleId="BalloonText">
    <w:name w:val="Balloon Text"/>
    <w:basedOn w:val="Normal"/>
    <w:link w:val="BalloonTextChar"/>
    <w:uiPriority w:val="99"/>
    <w:semiHidden/>
    <w:rsid w:val="00306F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6F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936788">
      <w:marLeft w:val="0"/>
      <w:marRight w:val="0"/>
      <w:marTop w:val="0"/>
      <w:marBottom w:val="0"/>
      <w:divBdr>
        <w:top w:val="none" w:sz="0" w:space="0" w:color="auto"/>
        <w:left w:val="none" w:sz="0" w:space="0" w:color="auto"/>
        <w:bottom w:val="none" w:sz="0" w:space="0" w:color="auto"/>
        <w:right w:val="none" w:sz="0" w:space="0" w:color="auto"/>
      </w:divBdr>
      <w:divsChild>
        <w:div w:id="700936784">
          <w:marLeft w:val="0"/>
          <w:marRight w:val="0"/>
          <w:marTop w:val="0"/>
          <w:marBottom w:val="0"/>
          <w:divBdr>
            <w:top w:val="none" w:sz="0" w:space="0" w:color="auto"/>
            <w:left w:val="none" w:sz="0" w:space="0" w:color="auto"/>
            <w:bottom w:val="none" w:sz="0" w:space="0" w:color="auto"/>
            <w:right w:val="none" w:sz="0" w:space="0" w:color="auto"/>
          </w:divBdr>
          <w:divsChild>
            <w:div w:id="700936785">
              <w:marLeft w:val="0"/>
              <w:marRight w:val="0"/>
              <w:marTop w:val="0"/>
              <w:marBottom w:val="0"/>
              <w:divBdr>
                <w:top w:val="none" w:sz="0" w:space="0" w:color="auto"/>
                <w:left w:val="none" w:sz="0" w:space="0" w:color="auto"/>
                <w:bottom w:val="none" w:sz="0" w:space="0" w:color="auto"/>
                <w:right w:val="none" w:sz="0" w:space="0" w:color="auto"/>
              </w:divBdr>
              <w:divsChild>
                <w:div w:id="700936781">
                  <w:marLeft w:val="0"/>
                  <w:marRight w:val="0"/>
                  <w:marTop w:val="0"/>
                  <w:marBottom w:val="0"/>
                  <w:divBdr>
                    <w:top w:val="none" w:sz="0" w:space="0" w:color="auto"/>
                    <w:left w:val="none" w:sz="0" w:space="0" w:color="auto"/>
                    <w:bottom w:val="none" w:sz="0" w:space="0" w:color="auto"/>
                    <w:right w:val="none" w:sz="0" w:space="0" w:color="auto"/>
                  </w:divBdr>
                </w:div>
                <w:div w:id="700936782">
                  <w:marLeft w:val="0"/>
                  <w:marRight w:val="0"/>
                  <w:marTop w:val="0"/>
                  <w:marBottom w:val="0"/>
                  <w:divBdr>
                    <w:top w:val="none" w:sz="0" w:space="0" w:color="auto"/>
                    <w:left w:val="none" w:sz="0" w:space="0" w:color="auto"/>
                    <w:bottom w:val="none" w:sz="0" w:space="0" w:color="auto"/>
                    <w:right w:val="none" w:sz="0" w:space="0" w:color="auto"/>
                  </w:divBdr>
                  <w:divsChild>
                    <w:div w:id="700936787">
                      <w:marLeft w:val="0"/>
                      <w:marRight w:val="0"/>
                      <w:marTop w:val="0"/>
                      <w:marBottom w:val="0"/>
                      <w:divBdr>
                        <w:top w:val="none" w:sz="0" w:space="0" w:color="auto"/>
                        <w:left w:val="none" w:sz="0" w:space="0" w:color="auto"/>
                        <w:bottom w:val="none" w:sz="0" w:space="0" w:color="auto"/>
                        <w:right w:val="none" w:sz="0" w:space="0" w:color="auto"/>
                      </w:divBdr>
                      <w:divsChild>
                        <w:div w:id="700936783">
                          <w:marLeft w:val="0"/>
                          <w:marRight w:val="0"/>
                          <w:marTop w:val="75"/>
                          <w:marBottom w:val="0"/>
                          <w:divBdr>
                            <w:top w:val="none" w:sz="0" w:space="0" w:color="auto"/>
                            <w:left w:val="none" w:sz="0" w:space="0" w:color="auto"/>
                            <w:bottom w:val="none" w:sz="0" w:space="0" w:color="auto"/>
                            <w:right w:val="none" w:sz="0" w:space="0" w:color="auto"/>
                          </w:divBdr>
                        </w:div>
                        <w:div w:id="7009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36786">
                  <w:marLeft w:val="0"/>
                  <w:marRight w:val="0"/>
                  <w:marTop w:val="0"/>
                  <w:marBottom w:val="0"/>
                  <w:divBdr>
                    <w:top w:val="none" w:sz="0" w:space="0" w:color="auto"/>
                    <w:left w:val="none" w:sz="0" w:space="0" w:color="auto"/>
                    <w:bottom w:val="none" w:sz="0" w:space="0" w:color="auto"/>
                    <w:right w:val="none" w:sz="0" w:space="0" w:color="auto"/>
                  </w:divBdr>
                </w:div>
              </w:divsChild>
            </w:div>
            <w:div w:id="7009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mpi.it/un-codicillo-del-decreto-scuola-introduce-la-rieducazione-degli-insegnanti-e-la-teoria-del-gender-in-classe" TargetMode="External"/><Relationship Id="rId3" Type="http://schemas.openxmlformats.org/officeDocument/2006/relationships/webSettings" Target="webSettings.xml"/><Relationship Id="rId7" Type="http://schemas.openxmlformats.org/officeDocument/2006/relationships/hyperlink" Target="http://www.tempi.it/gender-a-scuola-prima-che-i-nostri-figli-subiscano-l-inculturazione-lgbt-di-stato-sara-bene-provare-a-resister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mpi.it/ma-stare-europa-litalia-deve-adottare-lagenda-gay" TargetMode="External"/><Relationship Id="rId11" Type="http://schemas.openxmlformats.org/officeDocument/2006/relationships/fontTable" Target="fontTable.xml"/><Relationship Id="rId5" Type="http://schemas.openxmlformats.org/officeDocument/2006/relationships/hyperlink" Target="http://www.tempi.it/scuola-di-stato-lgbt-ecco-cosa-insegnera-ai-nostri-figli-il-maestro-unico-della-teoria-del-gender" TargetMode="External"/><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1222</Words>
  <Characters>6972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Gender in classe</dc:title>
  <dc:subject/>
  <dc:creator>Fioretti Andrea</dc:creator>
  <cp:keywords/>
  <dc:description/>
  <cp:lastModifiedBy>Luca </cp:lastModifiedBy>
  <cp:revision>2</cp:revision>
  <cp:lastPrinted>2014-02-20T13:12:00Z</cp:lastPrinted>
  <dcterms:created xsi:type="dcterms:W3CDTF">2014-04-04T07:37:00Z</dcterms:created>
  <dcterms:modified xsi:type="dcterms:W3CDTF">2014-04-04T07:37:00Z</dcterms:modified>
</cp:coreProperties>
</file>